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45B3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3BA1E18E"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DFAC7B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2024年山东省信息技术应用创新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p w14:paraId="0F982DEB"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313055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76543"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（信息技术企业申报）</w:t>
                            </w:r>
                          </w:p>
                          <w:p w14:paraId="4337A5CF"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典型应用案例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24.65pt;height:94.7pt;width:318.35pt;z-index:251660288;mso-width-relative:page;mso-height-relative:page;" filled="f" stroked="f" coordsize="21600,21600" o:gfxdata="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WGpPbAAAACQEAAA8AAAAA&#10;AAAAAQAgAAAAIgAAAGRycy9kb3ducmV2LnhtbFBLAQIUABQAAAAIAIdO4kDgmR3w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676543"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（信息技术企业申报）</w:t>
                      </w:r>
                    </w:p>
                    <w:p w14:paraId="4337A5CF"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典型应用案例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2957830</wp:posOffset>
                </wp:positionV>
                <wp:extent cx="4415790" cy="324167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BE104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5B4CCE9E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06361AD8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7E7062CF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 w14:paraId="1D6D5568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92E15D0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232.9pt;height:255.25pt;width:347.7pt;mso-wrap-distance-bottom:0pt;mso-wrap-distance-top:0pt;z-index:251659264;mso-width-relative:page;mso-height-relative:page;" filled="f" stroked="f" coordsize="21600,21600" o:gfxdata="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9N/bdcA&#10;AAAKAQAADwAAAAAAAAABACAAAAAiAAAAZHJzL2Rvd25yZXYueG1sUEsBAhQAFAAAAAgAh07iQMwg&#10;uuy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4BE104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5B4CCE9E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06361AD8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7E7062CF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 w14:paraId="1D6D5568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 w14:paraId="592E15D0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1557020</wp:posOffset>
                </wp:positionV>
                <wp:extent cx="4620895" cy="12026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07139">
                            <w:pPr>
                              <w:spacing w:line="600" w:lineRule="auto"/>
                              <w:jc w:val="left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专项领域：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经营管理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生产运营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工业软件</w:t>
                            </w:r>
                          </w:p>
                          <w:p w14:paraId="2942EADF">
                            <w:pPr>
                              <w:spacing w:line="600" w:lineRule="auto"/>
                              <w:jc w:val="left"/>
                              <w:rPr>
                                <w:rFonts w:hint="default"/>
                                <w:sz w:val="21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人工智能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22.6pt;height:94.7pt;width:363.85pt;z-index:251661312;mso-width-relative:page;mso-height-relative:page;" filled="f" stroked="f" coordsize="21600,21600" o:gfxdata="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YcAb13AAAAAoBAAAPAAAAAAAAAAEAIAAAACIA&#10;AABkcnMvZG93bnJldi54bWxQSwECFAAUAAAACACHTuJAPVNZEz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607139">
                      <w:pPr>
                        <w:spacing w:line="600" w:lineRule="auto"/>
                        <w:jc w:val="left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专项领域：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经营管理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生产运营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工业软件</w:t>
                      </w:r>
                    </w:p>
                    <w:p w14:paraId="2942EADF">
                      <w:pPr>
                        <w:spacing w:line="600" w:lineRule="auto"/>
                        <w:jc w:val="left"/>
                        <w:rPr>
                          <w:rFonts w:hint="default"/>
                          <w:sz w:val="21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人工智能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29460E3B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3E26E46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填表须知</w:t>
      </w:r>
    </w:p>
    <w:p w14:paraId="71D2E078">
      <w:pPr>
        <w:bidi w:val="0"/>
        <w:jc w:val="center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05028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关于开展2024年山东省信息技术应用创新解决方案征集工作的通知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0F1A77"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申报类别</w:t>
      </w:r>
    </w:p>
    <w:p w14:paraId="2FF3C229"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（一）典型解决方案类别：信息技术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支撑或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的信息技术应用创新解决方案，申报类别均属典型解决方案；</w:t>
      </w:r>
    </w:p>
    <w:p w14:paraId="1A74D7C4">
      <w:pPr>
        <w:pStyle w:val="2"/>
        <w:numPr>
          <w:ilvl w:val="-1"/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（二）典型应用案例类别：用户单位为申报主体，申报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本系统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自建或自用的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信息技术应用创新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实践案例，申报类别均属典型应用案例。</w:t>
      </w:r>
    </w:p>
    <w:p w14:paraId="6EF269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三、允许以联合体方式参与申报，联合体中的单位数量不超过2家，申报主体申报范围和申报类别均以牵头单位信息为准。</w:t>
      </w:r>
    </w:p>
    <w:p w14:paraId="1C79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CB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格式要求</w:t>
      </w:r>
    </w:p>
    <w:p w14:paraId="5C99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1.标题仿宋字体小四号加粗、正文仿宋字体小四号、图注仿宋字体五号加粗。</w:t>
      </w:r>
    </w:p>
    <w:p w14:paraId="4276E5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以上，原图请另附。</w:t>
      </w:r>
    </w:p>
    <w:p w14:paraId="2AA8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（二）统一使用A4纸打印，胶装。</w:t>
      </w:r>
    </w:p>
    <w:p w14:paraId="2D0A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（三）相关证明材料请根据附件1-1编辑目录，佐证材料复印件接续在后。</w:t>
      </w:r>
    </w:p>
    <w:p w14:paraId="4FA2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59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 w14:paraId="61C8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六、相关名词说明</w:t>
      </w:r>
    </w:p>
    <w:p w14:paraId="1DCC2D46"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推广性最强的行业领域，其余领域为可推广的行业应用领域。</w:t>
      </w:r>
    </w:p>
    <w:p w14:paraId="4CD53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芯片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终端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密码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云计算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大数据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区块链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若采用多个核心技术，则挑选典型性最强、优势最突出、技术最热门的技术方向，其余技术方向为辅助技术方向。</w:t>
      </w:r>
    </w:p>
    <w:p w14:paraId="6E1668CE">
      <w:pPr>
        <w:pStyle w:val="2"/>
        <w:ind w:firstLine="42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 w14:paraId="1BF3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 w14:paraId="48DF6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（五）信息资源。要素可包括：支撑构建平台信息资源目录、平台信息资源交换共享、信息资源开放目录、数据开放子系统等各类应用系统。</w:t>
      </w:r>
    </w:p>
    <w:p w14:paraId="1724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 w14:paraId="09F3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（七）安全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 w14:paraId="7E53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 w14:paraId="7060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等）、外部设备（打印机、扫描仪、扫码枪、高拍仪等）等。</w:t>
      </w:r>
    </w:p>
    <w:p w14:paraId="4E75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等）、金融领域专用设备（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自助取款机ATM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信用卡终端机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销售终端机POS机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验钞机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等）、交通领域专用设备（ETC、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北斗导航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交通信号灯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等）、工业领域专用设备（工控设备、电表、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工业机器人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、P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流水生产线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射频识别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阅读器等）；</w:t>
      </w:r>
    </w:p>
    <w:p w14:paraId="2E34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（十一）专用工具。要素可包括：BIM、CIM、MES、ERP等系统平台或工具等。</w:t>
      </w:r>
    </w:p>
    <w:p w14:paraId="5E08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24F082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2024年山东省信息技术应用创新</w:t>
      </w:r>
    </w:p>
    <w:p w14:paraId="6D1A632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解决方案信息表</w:t>
      </w:r>
    </w:p>
    <w:p w14:paraId="44FA3C20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6"/>
        <w:tblW w:w="1020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 w14:paraId="37446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0E4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337830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D76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1EE3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7E5D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AA95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272A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E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0F1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1BBA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092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3B2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30D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894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4BE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111D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2EE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DBC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7431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60EB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868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247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3CBF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BA06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AB64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D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187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0DA1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526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9EB8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E96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2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31B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7450A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253DD8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B21DB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联合单位简介</w:t>
            </w:r>
          </w:p>
          <w:p w14:paraId="67593A71">
            <w:pPr>
              <w:pStyle w:val="2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44B195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67B933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ADE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62B4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 w14:paraId="78CA83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（填报2023年度数据）</w:t>
            </w:r>
          </w:p>
          <w:p w14:paraId="45F5CC22">
            <w:pPr>
              <w:pStyle w:val="2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申报典型应用案例的主体，本部分内容选填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60C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391619A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307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D96FE">
            <w:pPr>
              <w:jc w:val="center"/>
              <w:rPr>
                <w:rFonts w:hint="default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信息技术应用创新业务收入占比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D047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8C4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B0599"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51B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7961DD7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33EE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37A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294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0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49C2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E203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  <w:p w14:paraId="79F9FA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325A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AD2D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  <w:p w14:paraId="314D26E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627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223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6C01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59E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 w14:paraId="725B901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1CB8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366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6B19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4A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4A4BA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98B3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6FC979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等方面提供信息或佐证材料，附于1-1佐证材料目录后）</w:t>
            </w:r>
          </w:p>
          <w:p w14:paraId="52BA4AE0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81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2AB81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775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9835CA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 w14:paraId="4E16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293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解决方案描述</w:t>
            </w:r>
          </w:p>
        </w:tc>
      </w:tr>
      <w:tr w14:paraId="711D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D09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C94EC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请勿超22字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，方案命名格式建议为：【公司简称】+【基于（技术）】+【解决或处理什么问题】+解决方案，其中【公司简称】可根据实际情况选择是否添加。）</w:t>
            </w:r>
          </w:p>
          <w:p w14:paraId="72A0CF2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738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0F9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  <w:p w14:paraId="5E53A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  <w:p w14:paraId="7C228FA6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E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292C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65E6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3D97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889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ED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64DE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C27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42E21B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 w14:paraId="781152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8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0772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5EB7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55F4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E58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30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55A8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BBC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29757AB8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C1F3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27014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5CE2ADA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6290762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33EA2A2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239BB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4C5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2B142EBC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E7101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19572120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BFE7A06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A77A1DE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0437A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598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4BA009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1737D8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0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按业务场景</w:t>
            </w:r>
          </w:p>
          <w:p w14:paraId="68C4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E0C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1、综合办公</w:t>
            </w:r>
          </w:p>
          <w:p w14:paraId="294B7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档案 </w:t>
            </w:r>
          </w:p>
          <w:p w14:paraId="24E6F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274D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2、经营管理</w:t>
            </w:r>
          </w:p>
          <w:p w14:paraId="1380EE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风险防控管理 </w:t>
            </w:r>
          </w:p>
          <w:p w14:paraId="19722D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供应链管理 </w:t>
            </w:r>
          </w:p>
          <w:p w14:paraId="434EC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278DAF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3、生产运营</w:t>
            </w:r>
          </w:p>
          <w:p w14:paraId="0F30E3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过程监控  </w:t>
            </w:r>
          </w:p>
          <w:p w14:paraId="5180BD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580C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4、重要职能</w:t>
            </w:r>
          </w:p>
          <w:p w14:paraId="2C5A97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应急处理</w:t>
            </w:r>
          </w:p>
          <w:p w14:paraId="02B77B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B09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5、社会服务</w:t>
            </w:r>
          </w:p>
          <w:p w14:paraId="361819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F799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ABBD8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55902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A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按技术功能</w:t>
            </w:r>
          </w:p>
          <w:p w14:paraId="0AE3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E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业务应用</w:t>
            </w:r>
          </w:p>
          <w:p w14:paraId="0B3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专用设备</w:t>
            </w:r>
          </w:p>
          <w:p w14:paraId="423C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34D988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B82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B6A2A5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 w14:paraId="2FA7BD3D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9E2792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1B1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37B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B05BAF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 w14:paraId="68890748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BD5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BEE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4644B1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（须提供解决方案架构图，并加以详细说明，原则上不超过1000字）</w:t>
            </w:r>
          </w:p>
          <w:p w14:paraId="1F4CD92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359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7FB4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25F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17BE15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解决问题、需求规模等情况）</w:t>
            </w:r>
          </w:p>
          <w:p w14:paraId="4432BC49"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FD3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1E3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F0E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EE2E29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（详细描述解决方案的业务需求、功能模块、交互设计、数据共享交换等情况）</w:t>
            </w:r>
          </w:p>
          <w:p w14:paraId="646C1E2C"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1415CF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A5C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E52E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C82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0DE61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75%-100%</w:t>
            </w:r>
          </w:p>
        </w:tc>
      </w:tr>
      <w:tr w14:paraId="5074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2A17F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18A7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适配兼容程度</w:t>
            </w:r>
          </w:p>
          <w:p w14:paraId="5939FE8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454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  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7A37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龙芯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飞腾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鲲鹏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海光</w:t>
            </w:r>
          </w:p>
          <w:p w14:paraId="6442F76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兆芯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642426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5942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D8C1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8345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1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统信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方德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华为云</w:t>
            </w:r>
          </w:p>
          <w:p w14:paraId="3CA0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65BC81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9FD3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1EBF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FA12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1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达梦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瀚高</w:t>
            </w:r>
          </w:p>
          <w:p w14:paraId="1632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人大金仓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76B1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2B1D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6E90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417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适配认证</w:t>
            </w:r>
          </w:p>
          <w:p w14:paraId="5A10D91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CD97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D6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13F7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90DE2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E6D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</w:p>
          <w:p w14:paraId="5865E07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77B582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提供与主流技术路线的兼容性证明，如互认证证书、产品适配性测试报告等材料，附于1-1佐证材料目录后）</w:t>
            </w:r>
          </w:p>
        </w:tc>
      </w:tr>
      <w:tr w14:paraId="56D737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D99F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485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应用迁移情况</w:t>
            </w:r>
          </w:p>
          <w:p w14:paraId="126ECBA5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7F95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B4D48E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迁移方案等，重点突出迁移前后的技术路线对比及解决的突出问题等）</w:t>
            </w:r>
          </w:p>
        </w:tc>
      </w:tr>
      <w:tr w14:paraId="225B48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85D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2F47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13247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14:paraId="1BD3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0E3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6887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FBCDE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（描述方案的技术特色、亮点、核心竞争力等，重点突出取得的重大技术突破、单点技术创新、全栈应用等，尽可能用可量化指标描述）</w:t>
            </w:r>
          </w:p>
          <w:p w14:paraId="2BA6C9F5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2D320F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0FD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206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102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168D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84FF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 w14:paraId="79EE2A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1AD3C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35661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6751324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最大投资金额</w:t>
            </w:r>
          </w:p>
          <w:p w14:paraId="71EA8B5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FD3C0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F34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D9F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954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2E1AE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2B176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12A9BE85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CDA15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DC67F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4927186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55EB5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AD7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5478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0341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C6A29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（描述解决方案所应用项目中相关建设的规模数量、技术和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覆盖范围、资金投入、实施周期、应用成效、用户满意度等，尽可能用可量化指标。可选取1-3个典型案例重点描述，应用规模大、业务代表性强、产品应用占比高的方案优先）</w:t>
            </w:r>
          </w:p>
          <w:p w14:paraId="1DEEBF9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4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7F24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E6827"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AD1DA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 w14:paraId="1BAD9FFF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E0D1FE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FCBEAA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C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095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F6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示范意义</w:t>
            </w:r>
          </w:p>
          <w:p w14:paraId="69724C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7FE1E0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（总结提炼解决方案在落地应用中取得的重大突破和示范成果，如新技术、新应用、新模式的探索创新，全栈方案的落地应用以及共性应用难题的协同攻关等，并提供相关证明材料，附于1-1佐证材料目录后）</w:t>
            </w:r>
          </w:p>
          <w:p w14:paraId="1855A91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2B638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AAB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C38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7AE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15E4B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（描述解决方案为申报单位或服务用户单位带来的经济效益，以及支持相关产业经济发展的情况）</w:t>
            </w:r>
          </w:p>
        </w:tc>
      </w:tr>
      <w:tr w14:paraId="5113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C35CE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6FB00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87AD5A"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 w14:paraId="6B6A3F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8B3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实施服务能力</w:t>
            </w:r>
          </w:p>
          <w:p w14:paraId="5A9AEAA2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BA323F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 w14:paraId="7EC63BAE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454726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D0A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4BB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知识产权、标准及获奖情况（与申报方案相关）</w:t>
            </w:r>
          </w:p>
          <w:p w14:paraId="308EDD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010D3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39472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C613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6C2D5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35BCA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A597F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60A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F1B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1B61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9EDD7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390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4D097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CEB10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9A2A5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DC5D6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527D8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4640F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8A908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B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5E607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15C9C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 w14:paraId="2E882FA6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832A810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附件1-1</w:t>
      </w:r>
    </w:p>
    <w:p w14:paraId="5FC8DA7F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相关证明材料</w:t>
      </w:r>
    </w:p>
    <w:p w14:paraId="04C1B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1.解决方案架构图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业务应用场景图；</w:t>
      </w:r>
    </w:p>
    <w:p w14:paraId="1D19A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2.技术水平自主程度可提供相关资质、适配互认证证书、第三方测试机构出具的产品适配测试报告等佐证材料；</w:t>
      </w:r>
    </w:p>
    <w:p w14:paraId="6536C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 w14:paraId="728BD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4.解决方案的平台架构、关键技术等获得专利、知识产权、标准及获得荣誉的相关证明材料；</w:t>
      </w:r>
    </w:p>
    <w:p w14:paraId="1C66E1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5.其他材料。</w:t>
      </w:r>
    </w:p>
    <w:p w14:paraId="6CB74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佐证材料目录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 w14:paraId="5D41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3778C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71958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 w14:paraId="767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0F577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27F9D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9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6BB81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5AA08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5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38FD7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7EEBD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A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52516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4315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8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53494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4DE32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034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（说明：提供的证明材料须与解决方案直接相关，依次附于表后，所有证明材料加盖申报单位公章。申报典型应用案例的主体，选择性提供。）</w:t>
      </w:r>
    </w:p>
    <w:p w14:paraId="4EEF7A35">
      <w:pPr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附件1-2</w:t>
      </w:r>
    </w:p>
    <w:p w14:paraId="1FA9F31A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责任声明</w:t>
      </w:r>
    </w:p>
    <w:p w14:paraId="1D8E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关于开展2024年山东省信息技术应用创新解决方案征集工作的通知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》要求，我单位提交了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解决方案的信息表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E8F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现就有关情况声明如下：</w:t>
      </w:r>
    </w:p>
    <w:p w14:paraId="0F32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并保证所涉及解决方案皆为自主知识产权。</w:t>
      </w:r>
    </w:p>
    <w:p w14:paraId="46B0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提交材料所涉及的解决方案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内容和程序皆符合国家有关法律法规及相关产业政策要求。</w:t>
      </w:r>
    </w:p>
    <w:p w14:paraId="0CAE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3.我单位对所提交的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内容未涉及国家秘密、个人信息和其他敏感信息。</w:t>
      </w:r>
    </w:p>
    <w:p w14:paraId="54DD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4.所填写的相关文字和图片已经由我单位审核，确认无误。</w:t>
      </w:r>
    </w:p>
    <w:p w14:paraId="77355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我单位对违反上述声明导致的后果承担全部法律责任。</w:t>
      </w:r>
    </w:p>
    <w:p w14:paraId="1497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E5E5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 w14:paraId="5594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申报单位名称：</w:t>
      </w:r>
    </w:p>
    <w:p w14:paraId="10D4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4CCE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法定代表人：（签字）</w:t>
      </w:r>
    </w:p>
    <w:p w14:paraId="0A4B96C0">
      <w:pPr>
        <w:ind w:firstLine="560" w:firstLineChars="200"/>
        <w:jc w:val="center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A22864A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 w14:paraId="7E305875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业务应用场景信息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填报要求及示例</w:t>
      </w:r>
    </w:p>
    <w:p w14:paraId="2AA1DF08">
      <w:pPr>
        <w:pStyle w:val="2"/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6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 w14:paraId="27FC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所依赖的核心技术、构件、插件、模型算法等</w:t>
            </w:r>
          </w:p>
        </w:tc>
      </w:tr>
      <w:tr w14:paraId="3503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重要行业领域，如党政、金融、能源等（必填）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每一行业领域主要涉及的业务场景分类，按大类分，分类名称建议4字、6字或8字</w:t>
            </w:r>
          </w:p>
          <w:p w14:paraId="2D23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</w:t>
            </w:r>
          </w:p>
          <w:p w14:paraId="17C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功能）所依赖的核心技术、构件、插件、模型算法等</w:t>
            </w:r>
          </w:p>
        </w:tc>
      </w:tr>
      <w:tr w14:paraId="38BB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5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3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C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D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E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F7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9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A25C29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92D2C3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8E4DD4-0CA3-4E25-AF99-AED158841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AC72BF-DB60-4EB0-9F5D-5D87BDCAC09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C9DEA0-2FB7-4CED-85D8-F94C7002C08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AE26169E-E26A-4473-AB62-2B552FA467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59FFB9A-F233-4E4B-88C0-F31219EE9C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51CF85-0D8C-4681-88D2-26CE64798E0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7" w:fontKey="{185008CE-96EC-4A77-A893-2CB0F74B32F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8" w:fontKey="{04648467-242F-4C1C-8B2E-B9BB9F1F45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E0ED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2YzODJiZDVhNjIxMTNkNDdkYmU5MDQwNzgyNTYifQ=="/>
  </w:docVars>
  <w:rsids>
    <w:rsidRoot w:val="00000000"/>
    <w:rsid w:val="297C55D1"/>
    <w:rsid w:val="2CAE1BBE"/>
    <w:rsid w:val="6F5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2024-08-06T03:15:42Z</dcterms:created>
  <dc:creator>Administrator</dc:creator>
  <cp:lastModifiedBy>Z_qyyy</cp:lastModifiedBy>
  <dcterms:modified xsi:type="dcterms:W3CDTF">2024-08-06T03:18:02Z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02882F5B80F343CCA46B9D300C295C39_12</vt:lpwstr>
  </property>
</Properties>
</file>